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D3" w:rsidRPr="00196125" w:rsidRDefault="005525D3" w:rsidP="005525D3">
      <w:pPr>
        <w:shd w:val="clear" w:color="auto" w:fill="FFFFFF"/>
        <w:spacing w:before="100" w:beforeAutospacing="1" w:after="100" w:afterAutospacing="1" w:line="240" w:lineRule="auto"/>
        <w:jc w:val="center"/>
        <w:textAlignment w:val="baseline"/>
        <w:outlineLvl w:val="0"/>
        <w:rPr>
          <w:rFonts w:eastAsia="Times New Roman" w:cstheme="minorHAnsi"/>
          <w:b/>
          <w:color w:val="272F38"/>
          <w:kern w:val="36"/>
          <w:sz w:val="28"/>
          <w:szCs w:val="28"/>
          <w:lang w:eastAsia="en-GB"/>
        </w:rPr>
      </w:pPr>
      <w:r w:rsidRPr="000F4DDB">
        <w:rPr>
          <w:rFonts w:eastAsia="Times New Roman" w:cstheme="minorHAnsi"/>
          <w:b/>
          <w:color w:val="272F38"/>
          <w:kern w:val="36"/>
          <w:sz w:val="28"/>
          <w:szCs w:val="28"/>
          <w:lang w:eastAsia="en-GB"/>
        </w:rPr>
        <w:t>The Practice and Ethics of Participatory Visual Methods for Community Engagement in Public Health and Health Science</w:t>
      </w:r>
    </w:p>
    <w:p w:rsidR="005525D3" w:rsidRPr="005525D3" w:rsidRDefault="005525D3" w:rsidP="005525D3">
      <w:pPr>
        <w:shd w:val="clear" w:color="auto" w:fill="FFFFFF"/>
        <w:spacing w:before="100" w:beforeAutospacing="1" w:after="100" w:afterAutospacing="1"/>
        <w:jc w:val="center"/>
        <w:textAlignment w:val="baseline"/>
        <w:outlineLvl w:val="0"/>
        <w:rPr>
          <w:rFonts w:eastAsia="Times New Roman" w:cstheme="minorHAnsi"/>
          <w:b/>
          <w:color w:val="272F38"/>
          <w:kern w:val="36"/>
          <w:sz w:val="28"/>
          <w:szCs w:val="28"/>
          <w:lang w:eastAsia="en-GB"/>
        </w:rPr>
      </w:pPr>
      <w:r w:rsidRPr="00196125">
        <w:rPr>
          <w:rFonts w:eastAsia="Times New Roman" w:cstheme="minorHAnsi"/>
          <w:b/>
          <w:color w:val="272F38"/>
          <w:kern w:val="36"/>
          <w:sz w:val="28"/>
          <w:szCs w:val="28"/>
          <w:lang w:eastAsia="en-GB"/>
        </w:rPr>
        <w:t>Quiz Questions</w:t>
      </w:r>
      <w:r>
        <w:rPr>
          <w:rFonts w:eastAsia="Times New Roman" w:cstheme="minorHAnsi"/>
          <w:b/>
          <w:color w:val="272F38"/>
          <w:kern w:val="36"/>
          <w:sz w:val="28"/>
          <w:szCs w:val="28"/>
          <w:lang w:eastAsia="en-GB"/>
        </w:rPr>
        <w:t xml:space="preserve"> </w:t>
      </w:r>
    </w:p>
    <w:tbl>
      <w:tblPr>
        <w:tblStyle w:val="TableGrid"/>
        <w:tblW w:w="0" w:type="auto"/>
        <w:tblLook w:val="04A0" w:firstRow="1" w:lastRow="0" w:firstColumn="1" w:lastColumn="0" w:noHBand="0" w:noVBand="1"/>
      </w:tblPr>
      <w:tblGrid>
        <w:gridCol w:w="8976"/>
      </w:tblGrid>
      <w:tr w:rsidR="00596934" w:rsidRPr="00C25CF4" w:rsidTr="0087359F">
        <w:trPr>
          <w:trHeight w:val="549"/>
        </w:trPr>
        <w:tc>
          <w:tcPr>
            <w:tcW w:w="8976" w:type="dxa"/>
            <w:shd w:val="clear" w:color="auto" w:fill="DEEAF6" w:themeFill="accent1" w:themeFillTint="33"/>
            <w:hideMark/>
          </w:tcPr>
          <w:p w:rsidR="00596934" w:rsidRPr="00C25CF4" w:rsidRDefault="00596934" w:rsidP="0087359F">
            <w:pPr>
              <w:rPr>
                <w:rFonts w:cstheme="minorHAnsi"/>
                <w:b/>
                <w:bCs/>
              </w:rPr>
            </w:pPr>
            <w:r w:rsidRPr="00C25CF4">
              <w:rPr>
                <w:rFonts w:cstheme="minorHAnsi"/>
                <w:b/>
                <w:bCs/>
                <w:sz w:val="28"/>
                <w:szCs w:val="28"/>
              </w:rPr>
              <w:t>Module 8 - Ethics Case Studies</w:t>
            </w:r>
          </w:p>
        </w:tc>
      </w:tr>
      <w:tr w:rsidR="00596934" w:rsidRPr="00C25CF4" w:rsidTr="0087359F">
        <w:trPr>
          <w:trHeight w:val="600"/>
        </w:trPr>
        <w:tc>
          <w:tcPr>
            <w:tcW w:w="8976" w:type="dxa"/>
            <w:shd w:val="clear" w:color="auto" w:fill="auto"/>
          </w:tcPr>
          <w:p w:rsidR="00596934" w:rsidRPr="00C25CF4" w:rsidRDefault="00596934" w:rsidP="0087359F">
            <w:pPr>
              <w:rPr>
                <w:rFonts w:cstheme="minorHAnsi"/>
              </w:rPr>
            </w:pPr>
          </w:p>
          <w:p w:rsidR="00596934" w:rsidRPr="00C25CF4" w:rsidRDefault="00596934" w:rsidP="00596934">
            <w:pPr>
              <w:pStyle w:val="ListParagraph"/>
              <w:numPr>
                <w:ilvl w:val="0"/>
                <w:numId w:val="12"/>
              </w:numPr>
              <w:ind w:left="318" w:hanging="284"/>
              <w:rPr>
                <w:rFonts w:cstheme="minorHAnsi"/>
              </w:rPr>
            </w:pPr>
            <w:r w:rsidRPr="00C25CF4">
              <w:rPr>
                <w:rFonts w:cstheme="minorHAnsi"/>
              </w:rPr>
              <w:t>All activities involving community participants must have formal ethical approval from an institutional review board (IRB)</w:t>
            </w:r>
          </w:p>
          <w:p w:rsidR="00596934" w:rsidRPr="00C25CF4" w:rsidRDefault="00596934" w:rsidP="00596934">
            <w:pPr>
              <w:pStyle w:val="ListParagraph"/>
              <w:numPr>
                <w:ilvl w:val="0"/>
                <w:numId w:val="8"/>
              </w:numPr>
              <w:ind w:left="743"/>
              <w:rPr>
                <w:rFonts w:cstheme="minorHAnsi"/>
              </w:rPr>
            </w:pPr>
            <w:r w:rsidRPr="00C25CF4">
              <w:rPr>
                <w:rFonts w:cstheme="minorHAnsi"/>
              </w:rPr>
              <w:t>True</w:t>
            </w:r>
          </w:p>
          <w:p w:rsidR="00596934" w:rsidRPr="00C25CF4" w:rsidRDefault="00596934" w:rsidP="00596934">
            <w:pPr>
              <w:pStyle w:val="ListParagraph"/>
              <w:numPr>
                <w:ilvl w:val="0"/>
                <w:numId w:val="8"/>
              </w:numPr>
              <w:ind w:left="743"/>
              <w:rPr>
                <w:rFonts w:cstheme="minorHAnsi"/>
              </w:rPr>
            </w:pPr>
            <w:r w:rsidRPr="00C25CF4">
              <w:rPr>
                <w:rFonts w:cstheme="minorHAnsi"/>
              </w:rPr>
              <w:t>False</w:t>
            </w:r>
          </w:p>
          <w:p w:rsidR="00596934" w:rsidRPr="00C25CF4" w:rsidRDefault="00596934" w:rsidP="0087359F">
            <w:pPr>
              <w:rPr>
                <w:rFonts w:cstheme="minorHAnsi"/>
              </w:rPr>
            </w:pPr>
          </w:p>
        </w:tc>
      </w:tr>
      <w:tr w:rsidR="00596934" w:rsidRPr="00C25CF4" w:rsidTr="0087359F">
        <w:trPr>
          <w:trHeight w:val="600"/>
        </w:trPr>
        <w:tc>
          <w:tcPr>
            <w:tcW w:w="8976" w:type="dxa"/>
            <w:shd w:val="clear" w:color="auto" w:fill="auto"/>
          </w:tcPr>
          <w:p w:rsidR="00596934" w:rsidRPr="00C25CF4" w:rsidRDefault="00596934" w:rsidP="0087359F">
            <w:pPr>
              <w:rPr>
                <w:rFonts w:eastAsia="Times New Roman" w:cstheme="minorHAnsi"/>
                <w:shd w:val="clear" w:color="auto" w:fill="FFFFFF"/>
              </w:rPr>
            </w:pPr>
          </w:p>
          <w:p w:rsidR="00596934" w:rsidRPr="00C25CF4" w:rsidRDefault="00596934" w:rsidP="00596934">
            <w:pPr>
              <w:pStyle w:val="ListParagraph"/>
              <w:numPr>
                <w:ilvl w:val="0"/>
                <w:numId w:val="12"/>
              </w:numPr>
              <w:ind w:left="318" w:hanging="284"/>
              <w:rPr>
                <w:rFonts w:eastAsia="Times New Roman" w:cstheme="minorHAnsi"/>
                <w:shd w:val="clear" w:color="auto" w:fill="FFFFFF"/>
              </w:rPr>
            </w:pPr>
            <w:r w:rsidRPr="00C25CF4">
              <w:rPr>
                <w:rFonts w:eastAsia="Times New Roman" w:cstheme="minorHAnsi"/>
                <w:shd w:val="clear" w:color="auto" w:fill="FFFFFF"/>
              </w:rPr>
              <w:t>The primary advantage of a participant-led review of ethical considerations include:</w:t>
            </w:r>
          </w:p>
          <w:p w:rsidR="00596934" w:rsidRPr="00C25CF4" w:rsidRDefault="00596934" w:rsidP="00596934">
            <w:pPr>
              <w:pStyle w:val="ListParagraph"/>
              <w:numPr>
                <w:ilvl w:val="0"/>
                <w:numId w:val="9"/>
              </w:numPr>
              <w:rPr>
                <w:rFonts w:eastAsia="Times New Roman" w:cstheme="minorHAnsi"/>
                <w:shd w:val="clear" w:color="auto" w:fill="FFFFFF"/>
              </w:rPr>
            </w:pPr>
            <w:r w:rsidRPr="00C25CF4">
              <w:rPr>
                <w:rFonts w:eastAsia="Times New Roman" w:cstheme="minorHAnsi"/>
                <w:shd w:val="clear" w:color="auto" w:fill="FFFFFF"/>
              </w:rPr>
              <w:t>It will be quicker than formal IRB approval</w:t>
            </w:r>
          </w:p>
          <w:p w:rsidR="00596934" w:rsidRPr="00C25CF4" w:rsidRDefault="00596934" w:rsidP="00596934">
            <w:pPr>
              <w:pStyle w:val="ListParagraph"/>
              <w:numPr>
                <w:ilvl w:val="0"/>
                <w:numId w:val="9"/>
              </w:numPr>
              <w:rPr>
                <w:rFonts w:eastAsia="Times New Roman" w:cstheme="minorHAnsi"/>
                <w:shd w:val="clear" w:color="auto" w:fill="FFFFFF"/>
              </w:rPr>
            </w:pPr>
            <w:r w:rsidRPr="00C25CF4">
              <w:rPr>
                <w:rFonts w:eastAsia="Times New Roman" w:cstheme="minorHAnsi"/>
                <w:shd w:val="clear" w:color="auto" w:fill="FFFFFF"/>
              </w:rPr>
              <w:t>It will save the IRB review fee costs</w:t>
            </w:r>
          </w:p>
          <w:p w:rsidR="00596934" w:rsidRPr="00C25CF4" w:rsidRDefault="00596934" w:rsidP="00596934">
            <w:pPr>
              <w:pStyle w:val="ListParagraph"/>
              <w:numPr>
                <w:ilvl w:val="0"/>
                <w:numId w:val="9"/>
              </w:numPr>
              <w:rPr>
                <w:rFonts w:eastAsia="Times New Roman" w:cstheme="minorHAnsi"/>
                <w:shd w:val="clear" w:color="auto" w:fill="FFFFFF"/>
              </w:rPr>
            </w:pPr>
            <w:r w:rsidRPr="00C25CF4">
              <w:rPr>
                <w:rFonts w:eastAsia="Times New Roman" w:cstheme="minorHAnsi"/>
                <w:shd w:val="clear" w:color="auto" w:fill="FFFFFF"/>
              </w:rPr>
              <w:t>It ensures that participants understand the ethical issues that might arise</w:t>
            </w:r>
          </w:p>
          <w:p w:rsidR="00596934" w:rsidRPr="00C25CF4" w:rsidRDefault="00596934" w:rsidP="00596934">
            <w:pPr>
              <w:pStyle w:val="ListParagraph"/>
              <w:numPr>
                <w:ilvl w:val="0"/>
                <w:numId w:val="9"/>
              </w:numPr>
              <w:rPr>
                <w:rFonts w:eastAsia="Times New Roman" w:cstheme="minorHAnsi"/>
                <w:shd w:val="clear" w:color="auto" w:fill="FFFFFF"/>
              </w:rPr>
            </w:pPr>
            <w:r w:rsidRPr="00C25CF4">
              <w:rPr>
                <w:rFonts w:eastAsia="Times New Roman" w:cstheme="minorHAnsi"/>
                <w:shd w:val="clear" w:color="auto" w:fill="FFFFFF"/>
              </w:rPr>
              <w:t>Participants will understand more about ethics in research</w:t>
            </w:r>
          </w:p>
          <w:p w:rsidR="00596934" w:rsidRPr="00C25CF4" w:rsidRDefault="00596934" w:rsidP="0087359F">
            <w:pPr>
              <w:rPr>
                <w:rFonts w:cstheme="minorHAnsi"/>
              </w:rPr>
            </w:pPr>
          </w:p>
        </w:tc>
      </w:tr>
      <w:tr w:rsidR="00596934" w:rsidRPr="00C25CF4" w:rsidTr="0087359F">
        <w:trPr>
          <w:trHeight w:val="300"/>
        </w:trPr>
        <w:tc>
          <w:tcPr>
            <w:tcW w:w="8976" w:type="dxa"/>
            <w:hideMark/>
          </w:tcPr>
          <w:p w:rsidR="00596934" w:rsidRPr="00C25CF4" w:rsidRDefault="00596934" w:rsidP="0087359F">
            <w:pPr>
              <w:jc w:val="both"/>
              <w:rPr>
                <w:rFonts w:cstheme="minorHAnsi"/>
              </w:rPr>
            </w:pPr>
          </w:p>
          <w:p w:rsidR="00596934" w:rsidRPr="00C25CF4" w:rsidRDefault="00596934" w:rsidP="00596934">
            <w:pPr>
              <w:pStyle w:val="ListParagraph"/>
              <w:numPr>
                <w:ilvl w:val="0"/>
                <w:numId w:val="12"/>
              </w:numPr>
              <w:ind w:left="318" w:hanging="284"/>
              <w:jc w:val="both"/>
              <w:rPr>
                <w:rFonts w:cstheme="minorHAnsi"/>
              </w:rPr>
            </w:pPr>
            <w:r w:rsidRPr="00C25CF4">
              <w:rPr>
                <w:rFonts w:cstheme="minorHAnsi"/>
              </w:rPr>
              <w:t>When the KEMRI team took the decision not to share the film ‘Facing Our Fears’ on the internet or use it outside of highly facilitated settings, they were responding to locally expressed concerns that the documentary could cause a backlash for: (Check all that apply)</w:t>
            </w:r>
          </w:p>
          <w:p w:rsidR="00596934" w:rsidRPr="00C25CF4" w:rsidRDefault="00596934" w:rsidP="00596934">
            <w:pPr>
              <w:pStyle w:val="ListParagraph"/>
              <w:numPr>
                <w:ilvl w:val="0"/>
                <w:numId w:val="13"/>
              </w:numPr>
              <w:jc w:val="both"/>
              <w:rPr>
                <w:rFonts w:cstheme="minorHAnsi"/>
              </w:rPr>
            </w:pPr>
            <w:r w:rsidRPr="00C25CF4">
              <w:rPr>
                <w:rFonts w:cstheme="minorHAnsi"/>
              </w:rPr>
              <w:t xml:space="preserve">Members of the LGBT community that appeared in the film </w:t>
            </w:r>
          </w:p>
          <w:p w:rsidR="00596934" w:rsidRPr="00C25CF4" w:rsidRDefault="00596934" w:rsidP="00596934">
            <w:pPr>
              <w:pStyle w:val="ListParagraph"/>
              <w:numPr>
                <w:ilvl w:val="0"/>
                <w:numId w:val="13"/>
              </w:numPr>
              <w:jc w:val="both"/>
              <w:rPr>
                <w:rFonts w:cstheme="minorHAnsi"/>
              </w:rPr>
            </w:pPr>
            <w:r w:rsidRPr="00C25CF4">
              <w:rPr>
                <w:rFonts w:cstheme="minorHAnsi"/>
              </w:rPr>
              <w:t xml:space="preserve">Other individuals that appeared in the film </w:t>
            </w:r>
          </w:p>
          <w:p w:rsidR="00596934" w:rsidRPr="00C25CF4" w:rsidRDefault="00596934" w:rsidP="00596934">
            <w:pPr>
              <w:pStyle w:val="ListParagraph"/>
              <w:numPr>
                <w:ilvl w:val="0"/>
                <w:numId w:val="13"/>
              </w:numPr>
              <w:jc w:val="both"/>
              <w:rPr>
                <w:rFonts w:cstheme="minorHAnsi"/>
              </w:rPr>
            </w:pPr>
            <w:r w:rsidRPr="00C25CF4">
              <w:rPr>
                <w:rFonts w:cstheme="minorHAnsi"/>
              </w:rPr>
              <w:t xml:space="preserve">The HIV research clinic and broader research institution </w:t>
            </w:r>
          </w:p>
          <w:p w:rsidR="00596934" w:rsidRPr="00C25CF4" w:rsidRDefault="00596934" w:rsidP="00596934">
            <w:pPr>
              <w:pStyle w:val="ListParagraph"/>
              <w:numPr>
                <w:ilvl w:val="0"/>
                <w:numId w:val="13"/>
              </w:numPr>
              <w:jc w:val="both"/>
              <w:rPr>
                <w:rFonts w:cstheme="minorHAnsi"/>
              </w:rPr>
            </w:pPr>
            <w:r w:rsidRPr="00C25CF4">
              <w:rPr>
                <w:rFonts w:cstheme="minorHAnsi"/>
              </w:rPr>
              <w:t>The local newspaper</w:t>
            </w:r>
          </w:p>
          <w:p w:rsidR="00596934" w:rsidRPr="00C25CF4" w:rsidRDefault="00596934" w:rsidP="0087359F">
            <w:pPr>
              <w:pStyle w:val="ListParagraph"/>
              <w:ind w:left="1080"/>
              <w:jc w:val="both"/>
              <w:rPr>
                <w:rFonts w:cstheme="minorHAnsi"/>
              </w:rPr>
            </w:pPr>
          </w:p>
          <w:p w:rsidR="00596934" w:rsidRPr="00C25CF4" w:rsidRDefault="00596934" w:rsidP="0087359F">
            <w:pPr>
              <w:jc w:val="both"/>
              <w:rPr>
                <w:rFonts w:cstheme="minorHAnsi"/>
              </w:rPr>
            </w:pPr>
          </w:p>
        </w:tc>
      </w:tr>
      <w:tr w:rsidR="00596934" w:rsidRPr="00C25CF4" w:rsidTr="0087359F">
        <w:trPr>
          <w:trHeight w:val="300"/>
        </w:trPr>
        <w:tc>
          <w:tcPr>
            <w:tcW w:w="8976" w:type="dxa"/>
            <w:hideMark/>
          </w:tcPr>
          <w:p w:rsidR="00596934" w:rsidRPr="00C25CF4" w:rsidRDefault="00596934" w:rsidP="0087359F">
            <w:pPr>
              <w:jc w:val="both"/>
              <w:rPr>
                <w:rFonts w:cstheme="minorHAnsi"/>
              </w:rPr>
            </w:pPr>
          </w:p>
          <w:p w:rsidR="00596934" w:rsidRPr="00C25CF4" w:rsidRDefault="00596934" w:rsidP="00596934">
            <w:pPr>
              <w:pStyle w:val="ListParagraph"/>
              <w:numPr>
                <w:ilvl w:val="0"/>
                <w:numId w:val="12"/>
              </w:numPr>
              <w:ind w:left="318" w:hanging="284"/>
              <w:jc w:val="both"/>
              <w:rPr>
                <w:rFonts w:cstheme="minorHAnsi"/>
              </w:rPr>
            </w:pPr>
            <w:r w:rsidRPr="00C25CF4">
              <w:rPr>
                <w:rFonts w:cstheme="minorHAnsi"/>
              </w:rPr>
              <w:t>In a situation where the interests and desires of PVM participants and facilitating institutions are in conflict, the facilitation team always knows what is most important and should proceed with the engagement programme that they have already planned</w:t>
            </w:r>
          </w:p>
          <w:p w:rsidR="00596934" w:rsidRPr="00C25CF4" w:rsidRDefault="00596934" w:rsidP="00596934">
            <w:pPr>
              <w:pStyle w:val="ListParagraph"/>
              <w:numPr>
                <w:ilvl w:val="0"/>
                <w:numId w:val="4"/>
              </w:numPr>
              <w:jc w:val="both"/>
              <w:rPr>
                <w:rFonts w:cstheme="minorHAnsi"/>
              </w:rPr>
            </w:pPr>
            <w:r w:rsidRPr="00C25CF4">
              <w:rPr>
                <w:rFonts w:cstheme="minorHAnsi"/>
              </w:rPr>
              <w:t>True</w:t>
            </w:r>
          </w:p>
          <w:p w:rsidR="00596934" w:rsidRPr="00C25CF4" w:rsidRDefault="00596934" w:rsidP="00596934">
            <w:pPr>
              <w:pStyle w:val="ListParagraph"/>
              <w:numPr>
                <w:ilvl w:val="0"/>
                <w:numId w:val="4"/>
              </w:numPr>
              <w:jc w:val="both"/>
              <w:rPr>
                <w:rFonts w:cstheme="minorHAnsi"/>
              </w:rPr>
            </w:pPr>
            <w:r w:rsidRPr="00C25CF4">
              <w:rPr>
                <w:rFonts w:cstheme="minorHAnsi"/>
              </w:rPr>
              <w:t>False</w:t>
            </w:r>
          </w:p>
          <w:p w:rsidR="00596934" w:rsidRPr="00C25CF4" w:rsidRDefault="00596934" w:rsidP="0087359F">
            <w:pPr>
              <w:pStyle w:val="ListParagraph"/>
              <w:jc w:val="both"/>
              <w:rPr>
                <w:rFonts w:cstheme="minorHAnsi"/>
              </w:rPr>
            </w:pPr>
          </w:p>
          <w:p w:rsidR="00596934" w:rsidRPr="00C25CF4" w:rsidRDefault="00596934" w:rsidP="0087359F">
            <w:pPr>
              <w:pStyle w:val="ListParagraph"/>
              <w:jc w:val="both"/>
              <w:rPr>
                <w:rFonts w:cstheme="minorHAnsi"/>
              </w:rPr>
            </w:pPr>
          </w:p>
        </w:tc>
      </w:tr>
      <w:tr w:rsidR="00596934" w:rsidRPr="00C25CF4" w:rsidTr="0087359F">
        <w:trPr>
          <w:trHeight w:val="300"/>
        </w:trPr>
        <w:tc>
          <w:tcPr>
            <w:tcW w:w="8976" w:type="dxa"/>
            <w:noWrap/>
            <w:hideMark/>
          </w:tcPr>
          <w:p w:rsidR="00596934" w:rsidRPr="00C25CF4" w:rsidRDefault="00596934" w:rsidP="0087359F">
            <w:pPr>
              <w:jc w:val="both"/>
              <w:rPr>
                <w:rFonts w:cstheme="minorHAnsi"/>
              </w:rPr>
            </w:pPr>
          </w:p>
          <w:p w:rsidR="00596934" w:rsidRPr="00C25CF4" w:rsidRDefault="00596934" w:rsidP="00596934">
            <w:pPr>
              <w:pStyle w:val="ListParagraph"/>
              <w:numPr>
                <w:ilvl w:val="0"/>
                <w:numId w:val="12"/>
              </w:numPr>
              <w:ind w:left="318" w:hanging="284"/>
              <w:jc w:val="both"/>
              <w:rPr>
                <w:rFonts w:cstheme="minorHAnsi"/>
              </w:rPr>
            </w:pPr>
            <w:r w:rsidRPr="00C25CF4">
              <w:rPr>
                <w:rFonts w:cstheme="minorHAnsi"/>
              </w:rPr>
              <w:t>If a person who is identifiable in a photograph has given their consent to be photographed and agreed on the ways in which the photograph may be disseminated, no further ethical implications will arise after the photograph has been publicly shared</w:t>
            </w:r>
          </w:p>
          <w:p w:rsidR="00596934" w:rsidRPr="00C25CF4" w:rsidRDefault="00596934" w:rsidP="00596934">
            <w:pPr>
              <w:pStyle w:val="ListParagraph"/>
              <w:numPr>
                <w:ilvl w:val="0"/>
                <w:numId w:val="5"/>
              </w:numPr>
              <w:jc w:val="both"/>
              <w:rPr>
                <w:rFonts w:cstheme="minorHAnsi"/>
              </w:rPr>
            </w:pPr>
            <w:r w:rsidRPr="00C25CF4">
              <w:rPr>
                <w:rFonts w:cstheme="minorHAnsi"/>
              </w:rPr>
              <w:t>True</w:t>
            </w:r>
          </w:p>
          <w:p w:rsidR="00596934" w:rsidRPr="00C25CF4" w:rsidRDefault="00596934" w:rsidP="00596934">
            <w:pPr>
              <w:pStyle w:val="ListParagraph"/>
              <w:numPr>
                <w:ilvl w:val="0"/>
                <w:numId w:val="5"/>
              </w:numPr>
              <w:jc w:val="both"/>
              <w:rPr>
                <w:rFonts w:cstheme="minorHAnsi"/>
              </w:rPr>
            </w:pPr>
            <w:r w:rsidRPr="00C25CF4">
              <w:rPr>
                <w:rFonts w:cstheme="minorHAnsi"/>
              </w:rPr>
              <w:t>False</w:t>
            </w:r>
          </w:p>
          <w:p w:rsidR="00596934" w:rsidRPr="00C25CF4" w:rsidRDefault="00596934" w:rsidP="0087359F">
            <w:pPr>
              <w:pStyle w:val="ListParagraph"/>
              <w:jc w:val="both"/>
              <w:rPr>
                <w:rFonts w:cstheme="minorHAnsi"/>
              </w:rPr>
            </w:pPr>
          </w:p>
          <w:p w:rsidR="00596934" w:rsidRPr="00C25CF4" w:rsidRDefault="00596934" w:rsidP="0087359F">
            <w:pPr>
              <w:rPr>
                <w:rFonts w:cstheme="minorHAnsi"/>
              </w:rPr>
            </w:pPr>
          </w:p>
        </w:tc>
      </w:tr>
      <w:tr w:rsidR="00596934" w:rsidRPr="00C25CF4" w:rsidTr="0087359F">
        <w:trPr>
          <w:trHeight w:val="300"/>
        </w:trPr>
        <w:tc>
          <w:tcPr>
            <w:tcW w:w="8976" w:type="dxa"/>
            <w:noWrap/>
            <w:hideMark/>
          </w:tcPr>
          <w:p w:rsidR="00596934" w:rsidRPr="00C25CF4" w:rsidRDefault="00596934" w:rsidP="0087359F">
            <w:pPr>
              <w:rPr>
                <w:rFonts w:cstheme="minorHAnsi"/>
              </w:rPr>
            </w:pPr>
          </w:p>
          <w:p w:rsidR="00596934" w:rsidRPr="00C25CF4" w:rsidRDefault="00596934" w:rsidP="00596934">
            <w:pPr>
              <w:pStyle w:val="ListParagraph"/>
              <w:numPr>
                <w:ilvl w:val="0"/>
                <w:numId w:val="12"/>
              </w:numPr>
              <w:ind w:left="318" w:hanging="284"/>
              <w:rPr>
                <w:rFonts w:cstheme="minorHAnsi"/>
              </w:rPr>
            </w:pPr>
            <w:r w:rsidRPr="00C25CF4">
              <w:rPr>
                <w:rFonts w:cstheme="minorHAnsi"/>
              </w:rPr>
              <w:t xml:space="preserve">In the case of the ‘Overcoming TB’ photograph, which of the following steps was </w:t>
            </w:r>
            <w:r w:rsidRPr="00C25CF4">
              <w:rPr>
                <w:rFonts w:cstheme="minorHAnsi"/>
                <w:b/>
              </w:rPr>
              <w:t>NOT</w:t>
            </w:r>
            <w:r w:rsidRPr="00C25CF4">
              <w:rPr>
                <w:rFonts w:cstheme="minorHAnsi"/>
              </w:rPr>
              <w:t xml:space="preserve"> included in SLFs attempts to address the ethical challenge that arose? </w:t>
            </w:r>
          </w:p>
          <w:p w:rsidR="00596934" w:rsidRPr="00C25CF4" w:rsidRDefault="00596934" w:rsidP="00596934">
            <w:pPr>
              <w:pStyle w:val="ListParagraph"/>
              <w:numPr>
                <w:ilvl w:val="0"/>
                <w:numId w:val="6"/>
              </w:numPr>
              <w:rPr>
                <w:rFonts w:cstheme="minorHAnsi"/>
              </w:rPr>
            </w:pPr>
            <w:r w:rsidRPr="00C25CF4">
              <w:rPr>
                <w:rFonts w:cstheme="minorHAnsi"/>
              </w:rPr>
              <w:lastRenderedPageBreak/>
              <w:t xml:space="preserve">A member of the SLF facilitation team made contact with the subject of the photograph to discuss how </w:t>
            </w:r>
            <w:proofErr w:type="gramStart"/>
            <w:r w:rsidRPr="00C25CF4">
              <w:rPr>
                <w:rFonts w:cstheme="minorHAnsi"/>
              </w:rPr>
              <w:t>to best remedy</w:t>
            </w:r>
            <w:proofErr w:type="gramEnd"/>
            <w:r w:rsidRPr="00C25CF4">
              <w:rPr>
                <w:rFonts w:cstheme="minorHAnsi"/>
              </w:rPr>
              <w:t xml:space="preserve"> the situation; the facilitator did not consider it necessary to also include her father in these discussions.</w:t>
            </w:r>
          </w:p>
          <w:p w:rsidR="00596934" w:rsidRPr="00C25CF4" w:rsidRDefault="00596934" w:rsidP="00596934">
            <w:pPr>
              <w:numPr>
                <w:ilvl w:val="0"/>
                <w:numId w:val="6"/>
              </w:numPr>
              <w:jc w:val="both"/>
              <w:rPr>
                <w:rFonts w:cstheme="minorHAnsi"/>
              </w:rPr>
            </w:pPr>
            <w:r w:rsidRPr="00C25CF4">
              <w:rPr>
                <w:rFonts w:cstheme="minorHAnsi"/>
              </w:rPr>
              <w:t>Participant photographers were contacted, informed about what had happened and asked to gather in the photobooks and return them to a project facilitator</w:t>
            </w:r>
          </w:p>
          <w:p w:rsidR="00596934" w:rsidRPr="00C25CF4" w:rsidRDefault="00596934" w:rsidP="00596934">
            <w:pPr>
              <w:numPr>
                <w:ilvl w:val="0"/>
                <w:numId w:val="6"/>
              </w:numPr>
              <w:jc w:val="both"/>
              <w:rPr>
                <w:rFonts w:cstheme="minorHAnsi"/>
              </w:rPr>
            </w:pPr>
            <w:r w:rsidRPr="00C25CF4">
              <w:rPr>
                <w:rFonts w:cstheme="minorHAnsi"/>
              </w:rPr>
              <w:t>The recalled photobooks, and those that were yet to be distributed were edited, using specially designed stickers, so that the offending caption was blanked out</w:t>
            </w:r>
          </w:p>
          <w:p w:rsidR="00596934" w:rsidRPr="00C25CF4" w:rsidRDefault="00596934" w:rsidP="00596934">
            <w:pPr>
              <w:numPr>
                <w:ilvl w:val="0"/>
                <w:numId w:val="6"/>
              </w:numPr>
              <w:jc w:val="both"/>
              <w:rPr>
                <w:rFonts w:cstheme="minorHAnsi"/>
              </w:rPr>
            </w:pPr>
            <w:r w:rsidRPr="00C25CF4">
              <w:rPr>
                <w:rFonts w:cstheme="minorHAnsi"/>
              </w:rPr>
              <w:t>After the photobooks had been edited, they were disseminated at a community engagement event</w:t>
            </w:r>
          </w:p>
          <w:p w:rsidR="00596934" w:rsidRPr="00C25CF4" w:rsidRDefault="00596934" w:rsidP="0087359F">
            <w:pPr>
              <w:ind w:left="1080"/>
              <w:jc w:val="both"/>
              <w:rPr>
                <w:rFonts w:cstheme="minorHAnsi"/>
              </w:rPr>
            </w:pPr>
          </w:p>
          <w:p w:rsidR="00596934" w:rsidRPr="00C25CF4" w:rsidRDefault="00596934" w:rsidP="0087359F">
            <w:pPr>
              <w:ind w:left="1080"/>
              <w:jc w:val="both"/>
              <w:rPr>
                <w:rFonts w:cstheme="minorHAnsi"/>
              </w:rPr>
            </w:pPr>
          </w:p>
        </w:tc>
      </w:tr>
      <w:tr w:rsidR="00596934" w:rsidRPr="00C25CF4" w:rsidTr="0087359F">
        <w:trPr>
          <w:trHeight w:val="300"/>
        </w:trPr>
        <w:tc>
          <w:tcPr>
            <w:tcW w:w="8976" w:type="dxa"/>
            <w:noWrap/>
            <w:hideMark/>
          </w:tcPr>
          <w:p w:rsidR="00596934" w:rsidRPr="00C25CF4" w:rsidRDefault="00596934" w:rsidP="0087359F">
            <w:pPr>
              <w:rPr>
                <w:rFonts w:cstheme="minorHAnsi"/>
              </w:rPr>
            </w:pPr>
          </w:p>
          <w:p w:rsidR="00596934" w:rsidRPr="00C25CF4" w:rsidRDefault="00596934" w:rsidP="00596934">
            <w:pPr>
              <w:pStyle w:val="ListParagraph"/>
              <w:numPr>
                <w:ilvl w:val="0"/>
                <w:numId w:val="12"/>
              </w:numPr>
              <w:ind w:left="318" w:hanging="284"/>
              <w:rPr>
                <w:rFonts w:cstheme="minorHAnsi"/>
              </w:rPr>
            </w:pPr>
            <w:r w:rsidRPr="00C25CF4">
              <w:rPr>
                <w:rFonts w:cstheme="minorHAnsi"/>
              </w:rPr>
              <w:t xml:space="preserve">In a complex public engagement project that involves working with many people, the facilitation team cannot be expected to respond to an objection voiced by a non-participant family member about a visual output that is shared in the community </w:t>
            </w:r>
          </w:p>
          <w:p w:rsidR="00596934" w:rsidRPr="00C25CF4" w:rsidRDefault="00596934" w:rsidP="00596934">
            <w:pPr>
              <w:pStyle w:val="ListParagraph"/>
              <w:numPr>
                <w:ilvl w:val="0"/>
                <w:numId w:val="7"/>
              </w:numPr>
              <w:rPr>
                <w:rFonts w:cstheme="minorHAnsi"/>
              </w:rPr>
            </w:pPr>
            <w:r w:rsidRPr="00C25CF4">
              <w:rPr>
                <w:rFonts w:cstheme="minorHAnsi"/>
              </w:rPr>
              <w:t>True</w:t>
            </w:r>
          </w:p>
          <w:p w:rsidR="00596934" w:rsidRPr="00C25CF4" w:rsidRDefault="00596934" w:rsidP="00596934">
            <w:pPr>
              <w:pStyle w:val="ListParagraph"/>
              <w:numPr>
                <w:ilvl w:val="0"/>
                <w:numId w:val="7"/>
              </w:numPr>
              <w:rPr>
                <w:rFonts w:cstheme="minorHAnsi"/>
              </w:rPr>
            </w:pPr>
            <w:r w:rsidRPr="00C25CF4">
              <w:rPr>
                <w:rFonts w:cstheme="minorHAnsi"/>
              </w:rPr>
              <w:t xml:space="preserve">False </w:t>
            </w:r>
          </w:p>
          <w:p w:rsidR="00596934" w:rsidRPr="00C25CF4" w:rsidRDefault="00596934" w:rsidP="0087359F">
            <w:pPr>
              <w:pStyle w:val="ListParagraph"/>
              <w:rPr>
                <w:rFonts w:cstheme="minorHAnsi"/>
              </w:rPr>
            </w:pPr>
          </w:p>
          <w:p w:rsidR="00596934" w:rsidRPr="00C25CF4" w:rsidRDefault="00596934" w:rsidP="0087359F">
            <w:pPr>
              <w:pStyle w:val="ListParagraph"/>
              <w:rPr>
                <w:rFonts w:cstheme="minorHAnsi"/>
              </w:rPr>
            </w:pPr>
          </w:p>
        </w:tc>
      </w:tr>
      <w:tr w:rsidR="00596934" w:rsidRPr="00C25CF4" w:rsidTr="0087359F">
        <w:trPr>
          <w:trHeight w:val="600"/>
        </w:trPr>
        <w:tc>
          <w:tcPr>
            <w:tcW w:w="8976" w:type="dxa"/>
            <w:shd w:val="clear" w:color="auto" w:fill="auto"/>
          </w:tcPr>
          <w:p w:rsidR="00596934" w:rsidRPr="00C25CF4" w:rsidRDefault="00596934" w:rsidP="0087359F">
            <w:pPr>
              <w:pStyle w:val="ListParagraph"/>
              <w:ind w:left="318"/>
              <w:rPr>
                <w:rFonts w:cstheme="minorHAnsi"/>
                <w:shd w:val="clear" w:color="auto" w:fill="FFFFFF"/>
              </w:rPr>
            </w:pPr>
          </w:p>
          <w:p w:rsidR="00E71A73" w:rsidRPr="00E71A73" w:rsidRDefault="00E71A73" w:rsidP="00E71A73">
            <w:pPr>
              <w:numPr>
                <w:ilvl w:val="0"/>
                <w:numId w:val="14"/>
              </w:numPr>
              <w:spacing w:after="160" w:line="252" w:lineRule="auto"/>
              <w:contextualSpacing/>
              <w:rPr>
                <w:rFonts w:eastAsia="Times New Roman"/>
              </w:rPr>
            </w:pPr>
            <w:r>
              <w:rPr>
                <w:rFonts w:eastAsia="Times New Roman"/>
              </w:rPr>
              <w:t xml:space="preserve">Each individual, the project team and participants will come to a project with different expectations of what they will do and what the outcomes will be. Which of the following </w:t>
            </w:r>
            <w:r w:rsidRPr="00E71A73">
              <w:rPr>
                <w:rFonts w:eastAsia="Times New Roman"/>
              </w:rPr>
              <w:t>are useful ways of addressing this? (Check all that apply)</w:t>
            </w:r>
          </w:p>
          <w:p w:rsidR="00E71A73" w:rsidRPr="00E71A73" w:rsidRDefault="00E71A73" w:rsidP="00E71A73">
            <w:pPr>
              <w:numPr>
                <w:ilvl w:val="0"/>
                <w:numId w:val="15"/>
              </w:numPr>
              <w:contextualSpacing/>
              <w:rPr>
                <w:rFonts w:eastAsia="Times New Roman"/>
              </w:rPr>
            </w:pPr>
            <w:r w:rsidRPr="00E71A73">
              <w:rPr>
                <w:rFonts w:eastAsia="Times New Roman"/>
              </w:rPr>
              <w:t>Developing a clear protoc</w:t>
            </w:r>
            <w:bookmarkStart w:id="0" w:name="_GoBack"/>
            <w:bookmarkEnd w:id="0"/>
            <w:r w:rsidRPr="00E71A73">
              <w:rPr>
                <w:rFonts w:eastAsia="Times New Roman"/>
              </w:rPr>
              <w:t>ol with government stakeholders</w:t>
            </w:r>
          </w:p>
          <w:p w:rsidR="00E71A73" w:rsidRPr="00E71A73" w:rsidRDefault="00E71A73" w:rsidP="00E71A73">
            <w:pPr>
              <w:numPr>
                <w:ilvl w:val="0"/>
                <w:numId w:val="15"/>
              </w:numPr>
              <w:contextualSpacing/>
              <w:rPr>
                <w:rFonts w:eastAsia="Times New Roman"/>
              </w:rPr>
            </w:pPr>
            <w:r w:rsidRPr="00E71A73">
              <w:rPr>
                <w:rFonts w:eastAsia="Times New Roman"/>
              </w:rPr>
              <w:t>Involving community members in the conception stage</w:t>
            </w:r>
          </w:p>
          <w:p w:rsidR="00E71A73" w:rsidRPr="00E71A73" w:rsidRDefault="00E71A73" w:rsidP="00E71A73">
            <w:pPr>
              <w:numPr>
                <w:ilvl w:val="0"/>
                <w:numId w:val="15"/>
              </w:numPr>
              <w:contextualSpacing/>
              <w:rPr>
                <w:rFonts w:eastAsia="Times New Roman"/>
              </w:rPr>
            </w:pPr>
            <w:r w:rsidRPr="00E71A73">
              <w:rPr>
                <w:rFonts w:eastAsia="Times New Roman"/>
              </w:rPr>
              <w:t>Having an early discussion with all stakeholders about their expectations and the limits of what the project can offer</w:t>
            </w:r>
          </w:p>
          <w:p w:rsidR="00E71A73" w:rsidRDefault="00E71A73" w:rsidP="00E71A73">
            <w:pPr>
              <w:numPr>
                <w:ilvl w:val="0"/>
                <w:numId w:val="15"/>
              </w:numPr>
              <w:contextualSpacing/>
              <w:rPr>
                <w:rFonts w:eastAsia="Times New Roman"/>
              </w:rPr>
            </w:pPr>
            <w:r>
              <w:rPr>
                <w:rFonts w:eastAsia="Times New Roman"/>
              </w:rPr>
              <w:t>Preventing potential disagreements between participants by designing the project on funder guidelines only</w:t>
            </w:r>
          </w:p>
          <w:p w:rsidR="00596934" w:rsidRPr="00C25CF4" w:rsidRDefault="00596934" w:rsidP="0087359F">
            <w:pPr>
              <w:rPr>
                <w:rFonts w:cstheme="minorHAnsi"/>
              </w:rPr>
            </w:pPr>
          </w:p>
        </w:tc>
      </w:tr>
      <w:tr w:rsidR="00596934" w:rsidRPr="00C25CF4" w:rsidTr="0087359F">
        <w:trPr>
          <w:trHeight w:val="600"/>
        </w:trPr>
        <w:tc>
          <w:tcPr>
            <w:tcW w:w="8976" w:type="dxa"/>
            <w:shd w:val="clear" w:color="auto" w:fill="auto"/>
          </w:tcPr>
          <w:p w:rsidR="00596934" w:rsidRPr="00C25CF4" w:rsidRDefault="00596934" w:rsidP="0087359F">
            <w:pPr>
              <w:rPr>
                <w:rFonts w:eastAsia="Times New Roman" w:cstheme="minorHAnsi"/>
                <w:shd w:val="clear" w:color="auto" w:fill="FFFFFF"/>
              </w:rPr>
            </w:pPr>
          </w:p>
          <w:p w:rsidR="00596934" w:rsidRPr="00C25CF4" w:rsidRDefault="00596934" w:rsidP="00596934">
            <w:pPr>
              <w:pStyle w:val="ListParagraph"/>
              <w:numPr>
                <w:ilvl w:val="0"/>
                <w:numId w:val="12"/>
              </w:numPr>
              <w:ind w:left="318" w:hanging="284"/>
              <w:rPr>
                <w:rFonts w:eastAsia="Times New Roman" w:cstheme="minorHAnsi"/>
                <w:shd w:val="clear" w:color="auto" w:fill="FFFFFF"/>
              </w:rPr>
            </w:pPr>
            <w:r w:rsidRPr="00C25CF4">
              <w:rPr>
                <w:rFonts w:eastAsia="Times New Roman" w:cstheme="minorHAnsi"/>
                <w:shd w:val="clear" w:color="auto" w:fill="FFFFFF"/>
              </w:rPr>
              <w:t xml:space="preserve">In the case study from </w:t>
            </w:r>
            <w:r w:rsidRPr="00C25CF4">
              <w:rPr>
                <w:rFonts w:eastAsia="Times New Roman" w:cstheme="minorHAnsi"/>
                <w:i/>
                <w:shd w:val="clear" w:color="auto" w:fill="FFFFFF"/>
              </w:rPr>
              <w:t>Health in the Backyard</w:t>
            </w:r>
            <w:r w:rsidRPr="00C25CF4">
              <w:rPr>
                <w:rFonts w:eastAsia="Times New Roman" w:cstheme="minorHAnsi"/>
                <w:shd w:val="clear" w:color="auto" w:fill="FFFFFF"/>
              </w:rPr>
              <w:t xml:space="preserve"> project in Vietnam, problems arose when the following groups had unclear expectations about the process and outcomes of the project: (Check all that apply)</w:t>
            </w:r>
          </w:p>
          <w:p w:rsidR="00596934" w:rsidRPr="00C25CF4" w:rsidRDefault="00596934" w:rsidP="00596934">
            <w:pPr>
              <w:pStyle w:val="ListParagraph"/>
              <w:numPr>
                <w:ilvl w:val="0"/>
                <w:numId w:val="11"/>
              </w:numPr>
              <w:rPr>
                <w:rFonts w:eastAsia="Times New Roman" w:cstheme="minorHAnsi"/>
                <w:shd w:val="clear" w:color="auto" w:fill="FFFFFF"/>
              </w:rPr>
            </w:pPr>
            <w:r w:rsidRPr="00C25CF4">
              <w:rPr>
                <w:rFonts w:eastAsia="Times New Roman" w:cstheme="minorHAnsi"/>
                <w:shd w:val="clear" w:color="auto" w:fill="FFFFFF"/>
              </w:rPr>
              <w:t>The farmers invited to participate expected to receive training workshops</w:t>
            </w:r>
          </w:p>
          <w:p w:rsidR="00596934" w:rsidRPr="00C25CF4" w:rsidRDefault="00596934" w:rsidP="00596934">
            <w:pPr>
              <w:pStyle w:val="ListParagraph"/>
              <w:numPr>
                <w:ilvl w:val="0"/>
                <w:numId w:val="11"/>
              </w:numPr>
              <w:rPr>
                <w:rFonts w:eastAsia="Times New Roman" w:cstheme="minorHAnsi"/>
                <w:shd w:val="clear" w:color="auto" w:fill="FFFFFF"/>
              </w:rPr>
            </w:pPr>
            <w:r w:rsidRPr="00C25CF4">
              <w:rPr>
                <w:rFonts w:eastAsia="Times New Roman" w:cstheme="minorHAnsi"/>
                <w:shd w:val="clear" w:color="auto" w:fill="FFFFFF"/>
              </w:rPr>
              <w:t>The wider community expected a professional film to be created</w:t>
            </w:r>
          </w:p>
          <w:p w:rsidR="00596934" w:rsidRPr="00C25CF4" w:rsidRDefault="00596934" w:rsidP="00596934">
            <w:pPr>
              <w:pStyle w:val="ListParagraph"/>
              <w:numPr>
                <w:ilvl w:val="0"/>
                <w:numId w:val="11"/>
              </w:numPr>
              <w:rPr>
                <w:rFonts w:eastAsia="Times New Roman" w:cstheme="minorHAnsi"/>
                <w:shd w:val="clear" w:color="auto" w:fill="FFFFFF"/>
              </w:rPr>
            </w:pPr>
            <w:r w:rsidRPr="00C25CF4">
              <w:rPr>
                <w:rFonts w:eastAsia="Times New Roman" w:cstheme="minorHAnsi"/>
                <w:shd w:val="clear" w:color="auto" w:fill="FFFFFF"/>
              </w:rPr>
              <w:t>Local vets expected to be paid for recruiting participants to the project</w:t>
            </w:r>
          </w:p>
          <w:p w:rsidR="00596934" w:rsidRPr="00C25CF4" w:rsidRDefault="00596934" w:rsidP="00596934">
            <w:pPr>
              <w:pStyle w:val="ListParagraph"/>
              <w:numPr>
                <w:ilvl w:val="0"/>
                <w:numId w:val="11"/>
              </w:numPr>
              <w:rPr>
                <w:rFonts w:eastAsia="Times New Roman" w:cstheme="minorHAnsi"/>
                <w:shd w:val="clear" w:color="auto" w:fill="FFFFFF"/>
              </w:rPr>
            </w:pPr>
            <w:r w:rsidRPr="00C25CF4">
              <w:rPr>
                <w:rFonts w:eastAsia="Times New Roman" w:cstheme="minorHAnsi"/>
                <w:shd w:val="clear" w:color="auto" w:fill="FFFFFF"/>
              </w:rPr>
              <w:t>Local vets expected the project would deliver training workshops</w:t>
            </w:r>
          </w:p>
          <w:p w:rsidR="00596934" w:rsidRPr="00C25CF4" w:rsidRDefault="00596934" w:rsidP="0087359F">
            <w:pPr>
              <w:rPr>
                <w:rFonts w:cstheme="minorHAnsi"/>
              </w:rPr>
            </w:pPr>
          </w:p>
        </w:tc>
      </w:tr>
      <w:tr w:rsidR="00596934" w:rsidRPr="00C25CF4" w:rsidTr="0087359F">
        <w:trPr>
          <w:trHeight w:val="255"/>
        </w:trPr>
        <w:tc>
          <w:tcPr>
            <w:tcW w:w="8976" w:type="dxa"/>
            <w:noWrap/>
            <w:hideMark/>
          </w:tcPr>
          <w:p w:rsidR="00596934" w:rsidRPr="00C25CF4" w:rsidRDefault="00596934" w:rsidP="0087359F">
            <w:pPr>
              <w:rPr>
                <w:rFonts w:cstheme="minorHAnsi"/>
              </w:rPr>
            </w:pPr>
            <w:r w:rsidRPr="00C25CF4">
              <w:rPr>
                <w:rFonts w:cstheme="minorHAnsi"/>
              </w:rPr>
              <w:t> </w:t>
            </w:r>
          </w:p>
          <w:p w:rsidR="00596934" w:rsidRPr="00C25CF4" w:rsidRDefault="00596934" w:rsidP="00596934">
            <w:pPr>
              <w:pStyle w:val="ListParagraph"/>
              <w:numPr>
                <w:ilvl w:val="0"/>
                <w:numId w:val="12"/>
              </w:numPr>
              <w:ind w:left="318"/>
              <w:rPr>
                <w:rFonts w:cstheme="minorHAnsi"/>
              </w:rPr>
            </w:pPr>
            <w:r w:rsidRPr="00C25CF4">
              <w:rPr>
                <w:rFonts w:cstheme="minorHAnsi"/>
              </w:rPr>
              <w:t xml:space="preserve">Through the women’s group intervention study around pregnancy in Nepal, the facilitation team learned that health education would </w:t>
            </w:r>
            <w:r w:rsidRPr="00C25CF4">
              <w:rPr>
                <w:rFonts w:cstheme="minorHAnsi"/>
                <w:b/>
              </w:rPr>
              <w:t>NOT</w:t>
            </w:r>
            <w:r w:rsidRPr="00C25CF4">
              <w:rPr>
                <w:rFonts w:cstheme="minorHAnsi"/>
              </w:rPr>
              <w:t xml:space="preserve"> be a useful component in the participatory development of a strategy to improve perinatal health</w:t>
            </w:r>
          </w:p>
          <w:p w:rsidR="00596934" w:rsidRPr="00C25CF4" w:rsidRDefault="00596934" w:rsidP="0087359F">
            <w:pPr>
              <w:pStyle w:val="ListParagraph"/>
              <w:numPr>
                <w:ilvl w:val="0"/>
                <w:numId w:val="1"/>
              </w:numPr>
              <w:rPr>
                <w:rFonts w:cstheme="minorHAnsi"/>
              </w:rPr>
            </w:pPr>
            <w:r w:rsidRPr="00C25CF4">
              <w:rPr>
                <w:rFonts w:cstheme="minorHAnsi"/>
              </w:rPr>
              <w:t>True</w:t>
            </w:r>
          </w:p>
          <w:p w:rsidR="00596934" w:rsidRPr="00C25CF4" w:rsidRDefault="00596934" w:rsidP="0087359F">
            <w:pPr>
              <w:pStyle w:val="ListParagraph"/>
              <w:numPr>
                <w:ilvl w:val="0"/>
                <w:numId w:val="1"/>
              </w:numPr>
              <w:rPr>
                <w:rFonts w:cstheme="minorHAnsi"/>
              </w:rPr>
            </w:pPr>
            <w:r w:rsidRPr="00C25CF4">
              <w:rPr>
                <w:rFonts w:cstheme="minorHAnsi"/>
              </w:rPr>
              <w:t xml:space="preserve">False </w:t>
            </w:r>
          </w:p>
          <w:p w:rsidR="00596934" w:rsidRPr="00C25CF4" w:rsidRDefault="00596934" w:rsidP="0087359F">
            <w:pPr>
              <w:pStyle w:val="ListParagraph"/>
              <w:rPr>
                <w:rFonts w:cstheme="minorHAnsi"/>
              </w:rPr>
            </w:pPr>
          </w:p>
          <w:p w:rsidR="00596934" w:rsidRPr="00C25CF4" w:rsidRDefault="00596934" w:rsidP="0087359F">
            <w:pPr>
              <w:pStyle w:val="ListParagraph"/>
              <w:rPr>
                <w:rFonts w:cstheme="minorHAnsi"/>
              </w:rPr>
            </w:pPr>
          </w:p>
        </w:tc>
      </w:tr>
      <w:tr w:rsidR="00596934" w:rsidRPr="00C25CF4" w:rsidTr="0087359F">
        <w:trPr>
          <w:trHeight w:val="255"/>
        </w:trPr>
        <w:tc>
          <w:tcPr>
            <w:tcW w:w="8976" w:type="dxa"/>
            <w:noWrap/>
            <w:hideMark/>
          </w:tcPr>
          <w:p w:rsidR="00596934" w:rsidRPr="00C25CF4" w:rsidRDefault="00596934" w:rsidP="0087359F">
            <w:pPr>
              <w:rPr>
                <w:rFonts w:cstheme="minorHAnsi"/>
              </w:rPr>
            </w:pPr>
            <w:r w:rsidRPr="00C25CF4">
              <w:rPr>
                <w:rFonts w:cstheme="minorHAnsi"/>
              </w:rPr>
              <w:t> </w:t>
            </w:r>
          </w:p>
          <w:p w:rsidR="00596934" w:rsidRPr="00C25CF4" w:rsidRDefault="00596934" w:rsidP="00596934">
            <w:pPr>
              <w:pStyle w:val="ListParagraph"/>
              <w:numPr>
                <w:ilvl w:val="0"/>
                <w:numId w:val="12"/>
              </w:numPr>
              <w:ind w:left="318"/>
              <w:jc w:val="both"/>
              <w:rPr>
                <w:rFonts w:cstheme="minorHAnsi"/>
              </w:rPr>
            </w:pPr>
            <w:r w:rsidRPr="00C25CF4">
              <w:rPr>
                <w:rFonts w:cstheme="minorHAnsi"/>
              </w:rPr>
              <w:t>In the women’s group intervention study around maternal and child health in Malawi, the facilitation team had been trained to keep group discussions focused on prevention and treatment activities that were recommended by the Ministry of Health</w:t>
            </w:r>
          </w:p>
          <w:p w:rsidR="00596934" w:rsidRPr="00C25CF4" w:rsidRDefault="00596934" w:rsidP="0087359F">
            <w:pPr>
              <w:pStyle w:val="ListParagraph"/>
              <w:numPr>
                <w:ilvl w:val="0"/>
                <w:numId w:val="2"/>
              </w:numPr>
              <w:rPr>
                <w:rFonts w:cstheme="minorHAnsi"/>
              </w:rPr>
            </w:pPr>
            <w:r w:rsidRPr="00C25CF4">
              <w:rPr>
                <w:rFonts w:cstheme="minorHAnsi"/>
              </w:rPr>
              <w:lastRenderedPageBreak/>
              <w:t>True</w:t>
            </w:r>
          </w:p>
          <w:p w:rsidR="00596934" w:rsidRPr="00C25CF4" w:rsidRDefault="00596934" w:rsidP="0087359F">
            <w:pPr>
              <w:pStyle w:val="ListParagraph"/>
              <w:numPr>
                <w:ilvl w:val="0"/>
                <w:numId w:val="2"/>
              </w:numPr>
              <w:jc w:val="both"/>
              <w:rPr>
                <w:rFonts w:cstheme="minorHAnsi"/>
              </w:rPr>
            </w:pPr>
            <w:r w:rsidRPr="00C25CF4">
              <w:rPr>
                <w:rFonts w:cstheme="minorHAnsi"/>
              </w:rPr>
              <w:t>False</w:t>
            </w:r>
          </w:p>
          <w:p w:rsidR="00596934" w:rsidRPr="00C25CF4" w:rsidRDefault="00596934" w:rsidP="0087359F">
            <w:pPr>
              <w:pStyle w:val="ListParagraph"/>
              <w:jc w:val="both"/>
              <w:rPr>
                <w:rFonts w:cstheme="minorHAnsi"/>
              </w:rPr>
            </w:pPr>
          </w:p>
          <w:p w:rsidR="00596934" w:rsidRPr="00C25CF4" w:rsidRDefault="00596934" w:rsidP="0087359F">
            <w:pPr>
              <w:pStyle w:val="ListParagraph"/>
              <w:jc w:val="both"/>
              <w:rPr>
                <w:rFonts w:cstheme="minorHAnsi"/>
              </w:rPr>
            </w:pPr>
          </w:p>
        </w:tc>
      </w:tr>
      <w:tr w:rsidR="00596934" w:rsidRPr="00C25CF4" w:rsidTr="0087359F">
        <w:trPr>
          <w:trHeight w:val="255"/>
        </w:trPr>
        <w:tc>
          <w:tcPr>
            <w:tcW w:w="8976" w:type="dxa"/>
            <w:noWrap/>
          </w:tcPr>
          <w:p w:rsidR="00596934" w:rsidRPr="00C25CF4" w:rsidRDefault="00596934" w:rsidP="0087359F">
            <w:pPr>
              <w:rPr>
                <w:rFonts w:cstheme="minorHAnsi"/>
              </w:rPr>
            </w:pPr>
            <w:r w:rsidRPr="00C25CF4">
              <w:rPr>
                <w:rFonts w:cstheme="minorHAnsi"/>
              </w:rPr>
              <w:lastRenderedPageBreak/>
              <w:t> </w:t>
            </w:r>
          </w:p>
          <w:p w:rsidR="00596934" w:rsidRPr="00C25CF4" w:rsidRDefault="00596934" w:rsidP="00596934">
            <w:pPr>
              <w:pStyle w:val="ListParagraph"/>
              <w:numPr>
                <w:ilvl w:val="0"/>
                <w:numId w:val="12"/>
              </w:numPr>
              <w:ind w:left="318"/>
              <w:rPr>
                <w:rFonts w:cstheme="minorHAnsi"/>
              </w:rPr>
            </w:pPr>
            <w:r w:rsidRPr="00C25CF4">
              <w:rPr>
                <w:rFonts w:cstheme="minorHAnsi"/>
              </w:rPr>
              <w:t xml:space="preserve">In the Picture Card Games case study, which of the following points is </w:t>
            </w:r>
            <w:r w:rsidRPr="00C25CF4">
              <w:rPr>
                <w:rFonts w:cstheme="minorHAnsi"/>
                <w:b/>
              </w:rPr>
              <w:t>NOT</w:t>
            </w:r>
            <w:r w:rsidRPr="00C25CF4">
              <w:rPr>
                <w:rFonts w:cstheme="minorHAnsi"/>
              </w:rPr>
              <w:t xml:space="preserve"> discussed: </w:t>
            </w:r>
          </w:p>
          <w:p w:rsidR="00596934" w:rsidRPr="00C25CF4" w:rsidRDefault="00596934" w:rsidP="0087359F">
            <w:pPr>
              <w:pStyle w:val="ListParagraph"/>
              <w:numPr>
                <w:ilvl w:val="0"/>
                <w:numId w:val="3"/>
              </w:numPr>
              <w:rPr>
                <w:rFonts w:cstheme="minorHAnsi"/>
              </w:rPr>
            </w:pPr>
            <w:r w:rsidRPr="00C25CF4">
              <w:rPr>
                <w:rFonts w:cstheme="minorHAnsi"/>
              </w:rPr>
              <w:t>In order to create a safe environment for women to talk about sensitive issues related to reproductive health, it is preferable to begin discussions on this issue with women alone</w:t>
            </w:r>
          </w:p>
          <w:p w:rsidR="00596934" w:rsidRPr="00C25CF4" w:rsidRDefault="00596934" w:rsidP="0087359F">
            <w:pPr>
              <w:pStyle w:val="ListParagraph"/>
              <w:numPr>
                <w:ilvl w:val="0"/>
                <w:numId w:val="3"/>
              </w:numPr>
              <w:jc w:val="both"/>
              <w:rPr>
                <w:rFonts w:cstheme="minorHAnsi"/>
              </w:rPr>
            </w:pPr>
            <w:r w:rsidRPr="00C25CF4">
              <w:rPr>
                <w:rFonts w:cstheme="minorHAnsi"/>
              </w:rPr>
              <w:t>To mobilise the whole community to take action, community leaders and extension workers, who are often male, must also be included - as well as husbands and partners</w:t>
            </w:r>
          </w:p>
          <w:p w:rsidR="00596934" w:rsidRPr="00C25CF4" w:rsidRDefault="00596934" w:rsidP="0087359F">
            <w:pPr>
              <w:pStyle w:val="ListParagraph"/>
              <w:numPr>
                <w:ilvl w:val="0"/>
                <w:numId w:val="3"/>
              </w:numPr>
              <w:rPr>
                <w:rFonts w:cstheme="minorHAnsi"/>
              </w:rPr>
            </w:pPr>
            <w:r w:rsidRPr="00C25CF4">
              <w:rPr>
                <w:rFonts w:cstheme="minorHAnsi"/>
              </w:rPr>
              <w:t xml:space="preserve">There has been much debate about involving young children in discussions about reproductive and child health </w:t>
            </w:r>
          </w:p>
          <w:p w:rsidR="00596934" w:rsidRPr="00C25CF4" w:rsidRDefault="00596934" w:rsidP="0087359F">
            <w:pPr>
              <w:pStyle w:val="ListParagraph"/>
              <w:numPr>
                <w:ilvl w:val="0"/>
                <w:numId w:val="3"/>
              </w:numPr>
              <w:jc w:val="both"/>
              <w:rPr>
                <w:rFonts w:cstheme="minorHAnsi"/>
              </w:rPr>
            </w:pPr>
            <w:r w:rsidRPr="00C25CF4">
              <w:rPr>
                <w:rFonts w:cstheme="minorHAnsi"/>
              </w:rPr>
              <w:t xml:space="preserve">Because adolescent girls can be at high risk of adverse reproductive health outcomes, their participation in group discussions on this topic should be considered </w:t>
            </w:r>
          </w:p>
          <w:p w:rsidR="00596934" w:rsidRPr="00C25CF4" w:rsidRDefault="00596934" w:rsidP="0087359F">
            <w:pPr>
              <w:pStyle w:val="ListParagraph"/>
              <w:jc w:val="both"/>
              <w:rPr>
                <w:rFonts w:cstheme="minorHAnsi"/>
              </w:rPr>
            </w:pPr>
          </w:p>
        </w:tc>
      </w:tr>
    </w:tbl>
    <w:p w:rsidR="00596934" w:rsidRPr="00C25CF4" w:rsidRDefault="00596934" w:rsidP="00596934">
      <w:pPr>
        <w:spacing w:after="0" w:line="240" w:lineRule="auto"/>
        <w:rPr>
          <w:rFonts w:cstheme="minorHAnsi"/>
        </w:rPr>
      </w:pPr>
    </w:p>
    <w:p w:rsidR="006F637B" w:rsidRDefault="006F637B"/>
    <w:sectPr w:rsidR="006F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5C2"/>
    <w:multiLevelType w:val="hybridMultilevel"/>
    <w:tmpl w:val="DAEE826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1D4D47"/>
    <w:multiLevelType w:val="hybridMultilevel"/>
    <w:tmpl w:val="DD00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23324"/>
    <w:multiLevelType w:val="hybridMultilevel"/>
    <w:tmpl w:val="65A046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842C3C"/>
    <w:multiLevelType w:val="hybridMultilevel"/>
    <w:tmpl w:val="D0B8A7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7A6469"/>
    <w:multiLevelType w:val="hybridMultilevel"/>
    <w:tmpl w:val="EF0E718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D70908"/>
    <w:multiLevelType w:val="hybridMultilevel"/>
    <w:tmpl w:val="EF0E718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9A49C9"/>
    <w:multiLevelType w:val="hybridMultilevel"/>
    <w:tmpl w:val="DF8A6D9C"/>
    <w:lvl w:ilvl="0" w:tplc="FFFFFFFF">
      <w:start w:val="8"/>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553DAD"/>
    <w:multiLevelType w:val="hybridMultilevel"/>
    <w:tmpl w:val="CA906B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639B9"/>
    <w:multiLevelType w:val="hybridMultilevel"/>
    <w:tmpl w:val="3AF2A1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AF4F38"/>
    <w:multiLevelType w:val="hybridMultilevel"/>
    <w:tmpl w:val="303CEE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030455"/>
    <w:multiLevelType w:val="hybridMultilevel"/>
    <w:tmpl w:val="D6867D3E"/>
    <w:lvl w:ilvl="0" w:tplc="08090019">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1" w15:restartNumberingAfterBreak="0">
    <w:nsid w:val="57244E43"/>
    <w:multiLevelType w:val="hybridMultilevel"/>
    <w:tmpl w:val="D6D43934"/>
    <w:lvl w:ilvl="0" w:tplc="F64C68BC">
      <w:start w:val="1"/>
      <w:numFmt w:val="lowerLetter"/>
      <w:lvlText w:val="%1)"/>
      <w:lvlJc w:val="left"/>
      <w:pPr>
        <w:ind w:left="1080" w:hanging="360"/>
      </w:pPr>
      <w:rPr>
        <w:rFonts w:asciiTheme="minorHAnsi" w:eastAsiaTheme="minorHAnsi" w:hAnsiTheme="minorHAnsi" w:cstheme="minorBid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624201B"/>
    <w:multiLevelType w:val="hybridMultilevel"/>
    <w:tmpl w:val="E1CE3E28"/>
    <w:lvl w:ilvl="0" w:tplc="08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622D53"/>
    <w:multiLevelType w:val="hybridMultilevel"/>
    <w:tmpl w:val="1B643DE0"/>
    <w:lvl w:ilvl="0" w:tplc="08090019">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4" w15:restartNumberingAfterBreak="0">
    <w:nsid w:val="7E833F2D"/>
    <w:multiLevelType w:val="hybridMultilevel"/>
    <w:tmpl w:val="E17602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9"/>
  </w:num>
  <w:num w:numId="6">
    <w:abstractNumId w:val="11"/>
  </w:num>
  <w:num w:numId="7">
    <w:abstractNumId w:val="2"/>
  </w:num>
  <w:num w:numId="8">
    <w:abstractNumId w:val="13"/>
  </w:num>
  <w:num w:numId="9">
    <w:abstractNumId w:val="7"/>
  </w:num>
  <w:num w:numId="10">
    <w:abstractNumId w:val="10"/>
  </w:num>
  <w:num w:numId="11">
    <w:abstractNumId w:val="14"/>
  </w:num>
  <w:num w:numId="12">
    <w:abstractNumId w:val="1"/>
  </w:num>
  <w:num w:numId="13">
    <w:abstractNumId w:val="12"/>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34"/>
    <w:rsid w:val="005525D3"/>
    <w:rsid w:val="00596934"/>
    <w:rsid w:val="006F637B"/>
    <w:rsid w:val="00E7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DC359-F5EB-4C45-AF8C-637EB277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93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6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Kehkashan Shah</dc:creator>
  <cp:keywords/>
  <dc:description/>
  <cp:lastModifiedBy>Kehkashan Shah</cp:lastModifiedBy>
  <cp:revision>3</cp:revision>
  <dcterms:created xsi:type="dcterms:W3CDTF">2019-10-23T09:09:00Z</dcterms:created>
  <dcterms:modified xsi:type="dcterms:W3CDTF">2019-10-24T08:33:00Z</dcterms:modified>
</cp:coreProperties>
</file>